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color w:val="333333"/>
          <w:sz w:val="26"/>
          <w:szCs w:val="26"/>
        </w:rPr>
        <w:t>B1:</w:t>
      </w:r>
      <w:r w:rsidRPr="000102AA">
        <w:rPr>
          <w:rStyle w:val="Strong"/>
          <w:b w:val="0"/>
          <w:color w:val="333333"/>
          <w:sz w:val="26"/>
          <w:szCs w:val="26"/>
        </w:rPr>
        <w:t xml:space="preserve"> Lên kế hoạch lập dự chi tour cho chi tiết về mọi chi phí: nhân công, xe, quà, các khoản mang tính chất phụ chi phí cho tour du lịch như quà tặng, trò chơi... ( nếu du lịch lữ hành quốc tế thêm em chi phí đăng ký VISA nữa).</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color w:val="333333"/>
          <w:sz w:val="26"/>
          <w:szCs w:val="26"/>
        </w:rPr>
        <w:t>B2:</w:t>
      </w:r>
      <w:r w:rsidRPr="000102AA">
        <w:rPr>
          <w:rStyle w:val="Strong"/>
          <w:b w:val="0"/>
          <w:color w:val="333333"/>
          <w:sz w:val="26"/>
          <w:szCs w:val="26"/>
        </w:rPr>
        <w:t xml:space="preserve"> Kiểm duyệt dự chi để hạn chế tối thiểu chi phí ko cần thiết, áp dụng chiêu thoả thuận với nhà cung cấp chi phí càng thấp càng tốt.</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color w:val="333333"/>
          <w:sz w:val="26"/>
          <w:szCs w:val="26"/>
        </w:rPr>
        <w:t>B3:</w:t>
      </w:r>
      <w:r w:rsidRPr="000102AA">
        <w:rPr>
          <w:rStyle w:val="Strong"/>
          <w:b w:val="0"/>
          <w:color w:val="333333"/>
          <w:sz w:val="26"/>
          <w:szCs w:val="26"/>
        </w:rPr>
        <w:t xml:space="preserve"> Dựa trên bảng đăng ký danh sách người đi tour tiến hành mua bảo hiểm cho khách tour ( cái này bắt buộc phải làm và phải chi)</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color w:val="333333"/>
          <w:sz w:val="26"/>
          <w:szCs w:val="26"/>
        </w:rPr>
        <w:t>B4:</w:t>
      </w:r>
      <w:r w:rsidRPr="000102AA">
        <w:rPr>
          <w:rStyle w:val="Strong"/>
          <w:b w:val="0"/>
          <w:color w:val="333333"/>
          <w:sz w:val="26"/>
          <w:szCs w:val="26"/>
        </w:rPr>
        <w:t xml:space="preserve"> Nhắc nhở điều hành tour phải thực hiện đúng hành trình, mọi chi phí phát sinh đều phải có hoá đơn chứng từ hợp pháp hợp lệ ( nếu không có vui lòng bỏ tiền túi ra chi và khoản này công ty sẽ không chịu trách nhiệm thanh toán )</w:t>
      </w:r>
    </w:p>
    <w:p w:rsidR="009D4C1F" w:rsidRPr="000102AA" w:rsidRDefault="000102AA" w:rsidP="009D4C1F">
      <w:pPr>
        <w:pStyle w:val="NormalWeb"/>
        <w:shd w:val="clear" w:color="auto" w:fill="FFFFFF"/>
        <w:spacing w:before="0" w:beforeAutospacing="0" w:after="0" w:afterAutospacing="0" w:line="294" w:lineRule="atLeast"/>
        <w:rPr>
          <w:color w:val="333333"/>
          <w:sz w:val="26"/>
          <w:szCs w:val="26"/>
        </w:rPr>
      </w:pPr>
      <w:r>
        <w:rPr>
          <w:rStyle w:val="Strong"/>
          <w:color w:val="333333"/>
          <w:sz w:val="26"/>
          <w:szCs w:val="26"/>
        </w:rPr>
        <w:t>B</w:t>
      </w:r>
      <w:r w:rsidR="009D4C1F" w:rsidRPr="000102AA">
        <w:rPr>
          <w:rStyle w:val="Strong"/>
          <w:color w:val="333333"/>
          <w:sz w:val="26"/>
          <w:szCs w:val="26"/>
        </w:rPr>
        <w:t>5:</w:t>
      </w:r>
      <w:r w:rsidR="009D4C1F" w:rsidRPr="000102AA">
        <w:rPr>
          <w:rStyle w:val="Strong"/>
          <w:b w:val="0"/>
          <w:color w:val="333333"/>
          <w:sz w:val="26"/>
          <w:szCs w:val="26"/>
        </w:rPr>
        <w:t xml:space="preserve"> Căn cứ hoá đơn chứng từ hợp pháp, hợp lệ tiến hành hạch toán vào sổ sách như sau:</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chi phí nhân công bao gồm hướng dẫn viên trực tiếp tham gia :</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622</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334</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chi phí điều hành tour :</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627</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334( chú ý em này không hạch toán vào TK 642)</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Chi phí thuê hướng dẫn viên ngoài( hướng dẫn viên địa phương)</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Nợ TK 627</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111, 112</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Các chi phí khác tập hợp vào TK 627</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627</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133</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331, 111, 112</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Chi phí bảo hiểm cho khách tour hạch toán</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627</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133( nếu có)</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111,112,331</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color w:val="333333"/>
          <w:sz w:val="26"/>
          <w:szCs w:val="26"/>
        </w:rPr>
        <w:t>B6:</w:t>
      </w:r>
      <w:r w:rsidRPr="000102AA">
        <w:rPr>
          <w:rStyle w:val="Strong"/>
          <w:b w:val="0"/>
          <w:color w:val="333333"/>
          <w:sz w:val="26"/>
          <w:szCs w:val="26"/>
        </w:rPr>
        <w:t xml:space="preserve"> Căn cứ vào quyết toán tour và các khoản dự chi, phần vượt dự chi tuor thì xem nó liên quan tới ẻm nào mà xác định hạch toánvào 622 hay 627.Sau đó kết chuyển:</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154</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622, 627</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Tour tổ chức thành công, thanh lý hợp đồng tour và xuất hoá đơn hạch toán:</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632</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154</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ghi nhận doanh thu</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111, 112, 131</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511</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3331.</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chú ý thêm tí nữa : Trong quá trình thực hiện tour thường phát sinh khoản tạm ứng chi tour của điều hành tour và trả trước của khách hàng cũng như đặt cọc tiền nhận trước phòng khách sạn, nhà hàng khi đó ta xử lý:</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Tạm ứng nhân viên</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141</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111,112</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lastRenderedPageBreak/>
        <w:t>+ Trả trước tiền đặt phòng (booking):</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331</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111, 112</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 Khách hàng ứng trước tiền:</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111, 112</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131</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Sau đó căn cứ vào quyết toán tour để đưa em 141 kia sang 622 hoặc 627.</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bookmarkStart w:id="0" w:name="_GoBack"/>
      <w:bookmarkEnd w:id="0"/>
      <w:r w:rsidRPr="000102AA">
        <w:rPr>
          <w:rStyle w:val="Strong"/>
          <w:color w:val="333333"/>
          <w:sz w:val="26"/>
          <w:szCs w:val="26"/>
        </w:rPr>
        <w:t>B7:</w:t>
      </w:r>
      <w:r w:rsidRPr="000102AA">
        <w:rPr>
          <w:rStyle w:val="Strong"/>
          <w:b w:val="0"/>
          <w:color w:val="333333"/>
          <w:sz w:val="26"/>
          <w:szCs w:val="26"/>
        </w:rPr>
        <w:t xml:space="preserve"> Bắt đầu ngồi tính toán lại tour và thực hiện trích hoa hồng cho mấy ẻm nhân viên kinh doanh:Viết phiếu chi hoa hồng cho nhân viên KD </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Nợ TK 641</w:t>
      </w:r>
    </w:p>
    <w:p w:rsidR="009D4C1F" w:rsidRPr="000102AA" w:rsidRDefault="009D4C1F" w:rsidP="009D4C1F">
      <w:pPr>
        <w:pStyle w:val="NormalWeb"/>
        <w:shd w:val="clear" w:color="auto" w:fill="FFFFFF"/>
        <w:spacing w:before="0" w:beforeAutospacing="0" w:after="0" w:afterAutospacing="0" w:line="294" w:lineRule="atLeast"/>
        <w:rPr>
          <w:color w:val="333333"/>
          <w:sz w:val="26"/>
          <w:szCs w:val="26"/>
        </w:rPr>
      </w:pPr>
      <w:r w:rsidRPr="000102AA">
        <w:rPr>
          <w:rStyle w:val="Strong"/>
          <w:b w:val="0"/>
          <w:color w:val="333333"/>
          <w:sz w:val="26"/>
          <w:szCs w:val="26"/>
        </w:rPr>
        <w:t>Có TK 111,112</w:t>
      </w:r>
    </w:p>
    <w:p w:rsidR="0029376D" w:rsidRPr="000102AA" w:rsidRDefault="0029376D">
      <w:pPr>
        <w:rPr>
          <w:sz w:val="26"/>
          <w:szCs w:val="26"/>
        </w:rPr>
      </w:pPr>
    </w:p>
    <w:sectPr w:rsidR="0029376D" w:rsidRPr="000102AA" w:rsidSect="003260A9">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D4C1F"/>
    <w:rsid w:val="000102AA"/>
    <w:rsid w:val="0029376D"/>
    <w:rsid w:val="003260A9"/>
    <w:rsid w:val="004F707A"/>
    <w:rsid w:val="009D4C1F"/>
    <w:rsid w:val="00A54FF1"/>
    <w:rsid w:val="00C5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5A65"/>
  <w15:docId w15:val="{788DBDB4-C057-4EC0-97C4-8800369F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C1F"/>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9D4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2014-06-22T11:31:00Z</dcterms:created>
  <dcterms:modified xsi:type="dcterms:W3CDTF">2021-05-19T14:05:00Z</dcterms:modified>
</cp:coreProperties>
</file>